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40" w:rsidRDefault="00FA1D32" w:rsidP="00996340">
      <w:pPr>
        <w:jc w:val="center"/>
        <w:rPr>
          <w:rFonts w:ascii="Arial" w:hAnsi="Arial" w:cs="Arial"/>
          <w:b/>
          <w:bCs/>
          <w:color w:val="000000"/>
          <w:sz w:val="32"/>
          <w:szCs w:val="32"/>
        </w:rPr>
      </w:pPr>
      <w:r>
        <w:rPr>
          <w:rStyle w:val="l5tlu1"/>
          <w:rFonts w:ascii="Arial" w:hAnsi="Arial" w:cs="Arial"/>
        </w:rPr>
        <w:t>Anexa</w:t>
      </w:r>
      <w:bookmarkStart w:id="0" w:name="_GoBack"/>
      <w:bookmarkEnd w:id="0"/>
      <w:r w:rsidR="00066E04">
        <w:rPr>
          <w:rStyle w:val="l5tlu1"/>
          <w:rFonts w:ascii="Arial" w:hAnsi="Arial" w:cs="Arial"/>
        </w:rPr>
        <w:t xml:space="preserve"> nr. 27 </w:t>
      </w:r>
      <w:r w:rsidR="00996340">
        <w:rPr>
          <w:rStyle w:val="l5tlu1"/>
          <w:rFonts w:ascii="Arial" w:hAnsi="Arial" w:cs="Arial"/>
        </w:rPr>
        <w:t>la Ordinul ministrului educaţiei naţionale şi cercetării ştiinţifice nr. 6.129/2016 privind aprobarea standardelor minimale necesare şi obligatorii pentru conferirea titlurilor didactice din învăţământul superior, a gradelor profesionale de cercetare-dezvoltare, a calităţii de conducător de doctorat şi a atestatului de abilitare din 20.12.2016</w:t>
      </w:r>
      <w:r w:rsidR="00996340">
        <w:rPr>
          <w:rFonts w:ascii="Arial" w:hAnsi="Arial" w:cs="Arial"/>
          <w:b/>
          <w:bCs/>
          <w:color w:val="000000"/>
          <w:sz w:val="32"/>
          <w:szCs w:val="32"/>
        </w:rPr>
        <w:t xml:space="preserve">  </w:t>
      </w:r>
    </w:p>
    <w:p w:rsidR="00996340" w:rsidRDefault="00996340" w:rsidP="00996340">
      <w:pPr>
        <w:jc w:val="both"/>
        <w:rPr>
          <w:rFonts w:ascii="Arial" w:hAnsi="Arial" w:cs="Arial"/>
          <w:color w:val="000000"/>
          <w:sz w:val="26"/>
          <w:szCs w:val="26"/>
        </w:rPr>
      </w:pPr>
    </w:p>
    <w:p w:rsidR="00996340" w:rsidRDefault="00996340" w:rsidP="00996340">
      <w:pPr>
        <w:jc w:val="center"/>
        <w:rPr>
          <w:rFonts w:ascii="Arial" w:hAnsi="Arial" w:cs="Arial"/>
          <w:i/>
          <w:iCs/>
          <w:color w:val="000000"/>
          <w:sz w:val="26"/>
          <w:szCs w:val="26"/>
        </w:rPr>
      </w:pPr>
      <w:r>
        <w:rPr>
          <w:rFonts w:ascii="Arial" w:hAnsi="Arial" w:cs="Arial"/>
          <w:i/>
          <w:iCs/>
          <w:color w:val="000000"/>
          <w:sz w:val="26"/>
          <w:szCs w:val="26"/>
        </w:rPr>
        <w:t>În vigoare de la 15 februarie 2017</w:t>
      </w:r>
    </w:p>
    <w:p w:rsidR="00996340" w:rsidRDefault="00996340" w:rsidP="00996340">
      <w:pPr>
        <w:jc w:val="both"/>
        <w:rPr>
          <w:rFonts w:ascii="Arial" w:hAnsi="Arial" w:cs="Arial"/>
          <w:color w:val="000000"/>
          <w:sz w:val="26"/>
          <w:szCs w:val="26"/>
        </w:rPr>
      </w:pPr>
    </w:p>
    <w:p w:rsidR="00996340" w:rsidRDefault="00996340" w:rsidP="00996340">
      <w:pPr>
        <w:jc w:val="center"/>
        <w:rPr>
          <w:rFonts w:ascii="Arial" w:hAnsi="Arial" w:cs="Arial"/>
          <w:i/>
          <w:iCs/>
          <w:color w:val="000000"/>
          <w:sz w:val="26"/>
          <w:szCs w:val="26"/>
        </w:rPr>
      </w:pPr>
      <w:r>
        <w:rPr>
          <w:rFonts w:ascii="Arial" w:hAnsi="Arial" w:cs="Arial"/>
          <w:i/>
          <w:iCs/>
          <w:color w:val="000000"/>
          <w:sz w:val="26"/>
          <w:szCs w:val="26"/>
        </w:rPr>
        <w:t xml:space="preserve">Publicat în Monitorul Oficial, Partea I nr. 123bis din 15 februarie 2017. Nu există modificări până la </w:t>
      </w:r>
      <w:hyperlink r:id="rId6" w:history="1">
        <w:r>
          <w:rPr>
            <w:rStyle w:val="Hyperlink"/>
            <w:rFonts w:ascii="Arial" w:hAnsi="Arial" w:cs="Arial"/>
            <w:i/>
            <w:iCs/>
            <w:color w:val="008000"/>
            <w:sz w:val="26"/>
            <w:szCs w:val="26"/>
            <w:u w:val="none"/>
          </w:rPr>
          <w:t>20 februarie 2017</w:t>
        </w:r>
      </w:hyperlink>
      <w:r>
        <w:rPr>
          <w:rFonts w:ascii="Arial" w:hAnsi="Arial" w:cs="Arial"/>
          <w:i/>
          <w:iCs/>
          <w:color w:val="000000"/>
          <w:sz w:val="26"/>
          <w:szCs w:val="26"/>
        </w:rPr>
        <w:t>.</w:t>
      </w:r>
    </w:p>
    <w:p w:rsidR="00996340" w:rsidRDefault="00996340"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p>
    <w:p w:rsidR="00996340" w:rsidRDefault="00996340" w:rsidP="00996340">
      <w:pPr>
        <w:jc w:val="right"/>
        <w:rPr>
          <w:rFonts w:ascii="Arial" w:hAnsi="Arial" w:cs="Arial"/>
          <w:color w:val="000000"/>
          <w:sz w:val="26"/>
          <w:szCs w:val="26"/>
        </w:rPr>
      </w:pPr>
      <w:r>
        <w:rPr>
          <w:rFonts w:ascii="Arial" w:hAnsi="Arial" w:cs="Arial"/>
          <w:b/>
          <w:bCs/>
          <w:color w:val="FF0000"/>
          <w:sz w:val="26"/>
          <w:szCs w:val="26"/>
          <w:u w:val="single"/>
        </w:rPr>
        <w:t>ANEXA Nr. 27</w:t>
      </w:r>
      <w:r>
        <w:rPr>
          <w:rFonts w:ascii="Arial" w:hAnsi="Arial" w:cs="Arial"/>
          <w:b/>
          <w:bCs/>
          <w:color w:val="FF0000"/>
          <w:sz w:val="26"/>
          <w:szCs w:val="26"/>
          <w:u w:val="single"/>
        </w:rPr>
        <w:br/>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COMISIA DE ŞTIINŢE ECONOMICE ŞI ADMINISTRAREA AFACERILOR</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996340" w:rsidRDefault="00996340" w:rsidP="00996340">
      <w:pPr>
        <w:jc w:val="center"/>
        <w:rPr>
          <w:rFonts w:ascii="Arial" w:hAnsi="Arial" w:cs="Arial"/>
          <w:color w:val="000000"/>
          <w:sz w:val="26"/>
          <w:szCs w:val="26"/>
        </w:rPr>
      </w:pPr>
      <w:r>
        <w:rPr>
          <w:rStyle w:val="l5def1"/>
        </w:rPr>
        <w:t>STANDARDE MINIMALE NECESARE ŞI OBLIGATORII PENTRU CONFERIREA TITLURILOR DIDACTICE DIN ÎNVĂŢĂMÂNTUL SUPERIOR ŞI A GRADELOR</w:t>
      </w:r>
      <w:r>
        <w:rPr>
          <w:rFonts w:ascii="Arial" w:hAnsi="Arial" w:cs="Arial"/>
          <w:color w:val="000000"/>
          <w:sz w:val="26"/>
          <w:szCs w:val="26"/>
        </w:rPr>
        <w:br/>
      </w:r>
      <w:r>
        <w:rPr>
          <w:rStyle w:val="l5def1"/>
        </w:rPr>
        <w:t>PROFESIONALE DE CERCETARE - DEZVOLTARE</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066E04" w:rsidRDefault="00066E04"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 xml:space="preserve">Conform Ordinului MENCS </w:t>
      </w:r>
      <w:hyperlink r:id="rId7" w:history="1">
        <w:r>
          <w:rPr>
            <w:rStyle w:val="Hyperlink"/>
            <w:rFonts w:ascii="Arial" w:hAnsi="Arial" w:cs="Arial"/>
            <w:sz w:val="26"/>
            <w:szCs w:val="26"/>
            <w:u w:val="none"/>
          </w:rPr>
          <w:t>nr. 3482/2016</w:t>
        </w:r>
      </w:hyperlink>
      <w:r>
        <w:rPr>
          <w:rStyle w:val="l5def1"/>
        </w:rPr>
        <w:t xml:space="preserve"> privind aprobarea </w:t>
      </w:r>
      <w:hyperlink r:id="rId8" w:history="1">
        <w:r>
          <w:rPr>
            <w:rStyle w:val="Hyperlink"/>
            <w:rFonts w:ascii="Arial" w:hAnsi="Arial" w:cs="Arial"/>
            <w:sz w:val="26"/>
            <w:szCs w:val="26"/>
            <w:u w:val="none"/>
          </w:rPr>
          <w:t>Regulamentului</w:t>
        </w:r>
      </w:hyperlink>
      <w:r>
        <w:rPr>
          <w:rStyle w:val="l5def1"/>
        </w:rPr>
        <w:t xml:space="preserve"> de organizare şi funcţionare al Consiliului Naţional de Atestare a Titlurilor, Diplomelor şi Certificatelor Universitare (capitolul 1, art. 3, </w:t>
      </w:r>
      <w:hyperlink r:id="rId9" w:history="1">
        <w:r>
          <w:rPr>
            <w:rStyle w:val="Hyperlink"/>
            <w:rFonts w:ascii="Arial" w:hAnsi="Arial" w:cs="Arial"/>
            <w:sz w:val="26"/>
            <w:szCs w:val="26"/>
            <w:u w:val="none"/>
          </w:rPr>
          <w:t>lit. g</w:t>
        </w:r>
      </w:hyperlink>
      <w:r>
        <w:rPr>
          <w:rStyle w:val="l5def1"/>
        </w:rPr>
        <w:t xml:space="preserve"> şi </w:t>
      </w:r>
      <w:hyperlink r:id="rId10" w:history="1">
        <w:r>
          <w:rPr>
            <w:rStyle w:val="Hyperlink"/>
            <w:rFonts w:ascii="Arial" w:hAnsi="Arial" w:cs="Arial"/>
            <w:sz w:val="26"/>
            <w:szCs w:val="26"/>
            <w:u w:val="none"/>
          </w:rPr>
          <w:t>lit. h</w:t>
        </w:r>
      </w:hyperlink>
      <w:r>
        <w:rPr>
          <w:rStyle w:val="l5def1"/>
        </w:rPr>
        <w:t>), prezentele standarde au un caracter minimal şi vizează activitatea ştiinţifică fiind "necesare şi obligatorii pentru participarea la concursurile pentru ocuparea funcţiilor didactice universitare [.] şi pentru acordarea gradelor profesionale de CS II şi CS I" (lit. g), respectiv "pentru conferirea calităţii de conducător de doctorat şi atestatul de abilitare" (lit. h). Universităţile şi institutele de cercetare au dreptul de a completa standardele minimale CNATDCU cu standarde specifice, proprii cu privire la activitatea didactică, de cercetare, dezvoltare instituţională sau a altor contribuţii aduse comunităţii.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
        </w:rPr>
        <w:t xml:space="preserve">Obţinerea unui scor final (S), calculat pe baza articolelor şi citărilor în reviste cotate ISI cu scor de influenţă absolut (Article Influence Score - AIS) nenul (vezi observaţiile 1 şi 2 din </w:t>
      </w:r>
      <w:hyperlink r:id="rId11" w:history="1">
        <w:r>
          <w:rPr>
            <w:rStyle w:val="Hyperlink"/>
            <w:rFonts w:ascii="Arial" w:hAnsi="Arial" w:cs="Arial"/>
            <w:sz w:val="26"/>
            <w:szCs w:val="26"/>
            <w:u w:val="none"/>
          </w:rPr>
          <w:t>Anexa 2</w:t>
        </w:r>
      </w:hyperlink>
      <w:r>
        <w:rPr>
          <w:rStyle w:val="l5def1"/>
        </w:rPr>
        <w:t>), astfel:</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996340" w:rsidRDefault="00996340" w:rsidP="00996340">
      <w:pPr>
        <w:jc w:val="center"/>
        <w:rPr>
          <w:rFonts w:ascii="Arial" w:hAnsi="Arial" w:cs="Arial"/>
          <w:color w:val="000000"/>
          <w:sz w:val="26"/>
          <w:szCs w:val="26"/>
        </w:rPr>
      </w:pPr>
      <w:r>
        <w:rPr>
          <w:rStyle w:val="l5def1"/>
        </w:rPr>
        <w:lastRenderedPageBreak/>
        <w:t>S = P + C</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Scorul final (S) trebuie realizat pe baza a maximum 10 articole ale candidatului în reviste cotate ISI cu scor de influenţă absolut (AIS) nenul şi din maximum 10 citări în reviste cotate ISI cu scor de influenţă absolut (AIS) nenul (se exclud autocitările şi semi-autocitările). În cazul abilitării, toate articolele luate în calcul pentru stabilirea scorului final (S) trebuie să se regăsească în teza de abilitare. Punctajul aferent articolelor şi citărilor se determină astfel:</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Punctajul P</w:t>
      </w:r>
      <w:r>
        <w:rPr>
          <w:rStyle w:val="l5def1"/>
          <w:vertAlign w:val="subscript"/>
        </w:rPr>
        <w:t>i</w:t>
      </w:r>
      <w:r>
        <w:rPr>
          <w:rStyle w:val="l5def1"/>
        </w:rPr>
        <w:t xml:space="preserve"> acordat unui articol "i" publicat într-o revistă indexată ISI cu scor absolut de influenţă (AIS) nenul se determină conform formulei următoare:</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996340" w:rsidRDefault="00996340" w:rsidP="00996340">
      <w:pPr>
        <w:jc w:val="center"/>
        <w:rPr>
          <w:rFonts w:ascii="Arial" w:hAnsi="Arial" w:cs="Arial"/>
          <w:color w:val="000000"/>
          <w:sz w:val="26"/>
          <w:szCs w:val="26"/>
        </w:rPr>
      </w:pPr>
      <w:r>
        <w:rPr>
          <w:rStyle w:val="l5def1"/>
        </w:rPr>
        <w:t>P</w:t>
      </w:r>
      <w:r>
        <w:rPr>
          <w:rStyle w:val="l5def1"/>
          <w:vertAlign w:val="subscript"/>
        </w:rPr>
        <w:t xml:space="preserve">i </w:t>
      </w:r>
      <w:r>
        <w:rPr>
          <w:rStyle w:val="l5def1"/>
        </w:rPr>
        <w:t>= M x [1 - (N-1) x 0,1] x AIS</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unde M reprezintă coeficientul de multiplicare specificat în tabelul 1, N reprezintă numărul de autori ai articolului conform punctului 6, iar este scorul absolut de influenţă al revistei ISI în care este publicat articolul. Dacă N &gt; 10 sau AIS = 0, punctajul devine nul sau negativ şi, prin urmare, publicaţia nu poate fi luată în considerare în determinarea scorului final. Punctajul final obţinut din maxim 10 articole este dat de relaţia:</w:t>
      </w:r>
      <w:r>
        <w:rPr>
          <w:rFonts w:ascii="Arial" w:hAnsi="Arial" w:cs="Arial"/>
          <w:color w:val="000000"/>
          <w:sz w:val="26"/>
          <w:szCs w:val="26"/>
        </w:rPr>
        <w:t xml:space="preserve">  </w:t>
      </w:r>
    </w:p>
    <w:p w:rsidR="00996340" w:rsidRDefault="00996340" w:rsidP="00996340">
      <w:pPr>
        <w:jc w:val="center"/>
        <w:rPr>
          <w:rFonts w:ascii="Arial" w:hAnsi="Arial" w:cs="Arial"/>
          <w:color w:val="000000"/>
          <w:sz w:val="26"/>
          <w:szCs w:val="26"/>
        </w:rPr>
      </w:pPr>
      <w:r>
        <w:rPr>
          <w:rFonts w:ascii="Arial" w:hAnsi="Arial" w:cs="Arial"/>
          <w:color w:val="000000"/>
          <w:sz w:val="26"/>
          <w:szCs w:val="26"/>
        </w:rPr>
        <w:br/>
      </w:r>
      <w:r>
        <w:rPr>
          <w:rFonts w:ascii="Arial" w:hAnsi="Arial" w:cs="Arial"/>
          <w:noProof/>
          <w:color w:val="000000"/>
          <w:sz w:val="26"/>
          <w:szCs w:val="26"/>
          <w:lang w:val="en-US" w:eastAsia="en-US"/>
        </w:rPr>
        <w:drawing>
          <wp:inline distT="0" distB="0" distL="0" distR="0">
            <wp:extent cx="866775" cy="514350"/>
            <wp:effectExtent l="0" t="0" r="9525" b="0"/>
            <wp:docPr id="2" name="Picture 2" descr="C:\Lege5\TEMP\1191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ge5\TEMP\119174.tmp"/>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514350"/>
                    </a:xfrm>
                    <a:prstGeom prst="rect">
                      <a:avLst/>
                    </a:prstGeom>
                    <a:noFill/>
                    <a:ln>
                      <a:noFill/>
                    </a:ln>
                  </pic:spPr>
                </pic:pic>
              </a:graphicData>
            </a:graphic>
          </wp:inline>
        </w:drawing>
      </w:r>
      <w:r>
        <w:rPr>
          <w:rFonts w:ascii="Arial" w:hAnsi="Arial" w:cs="Arial"/>
          <w:color w:val="000000"/>
          <w:sz w:val="26"/>
          <w:szCs w:val="26"/>
        </w:rPr>
        <w:br/>
        <w:t xml:space="preserve">  </w:t>
      </w:r>
    </w:p>
    <w:p w:rsidR="00996340" w:rsidRDefault="00996340"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unde n ≤ 10 reprezintă numărul articolelor ISI cu scor absolut de influenţă (AIS) nenul ale candidatului.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 xml:space="preserve">Pentru profesor universitar, cercetător ştiinţific I şi abilitare, maximum 0,5 puncte (adică 25% din valoarea minimă a lui P, precizată mai jos la punctul 7), pot fi acordate publicaţiilor (cărţi sau capitole în cărţi) la edituri de prestigiu internaţional în domeniul ştiinţelor sociale (lista acestor edituri este prezentată în </w:t>
      </w:r>
      <w:hyperlink r:id="rId13" w:history="1">
        <w:r>
          <w:rPr>
            <w:rStyle w:val="Hyperlink"/>
            <w:rFonts w:ascii="Arial" w:hAnsi="Arial" w:cs="Arial"/>
            <w:sz w:val="26"/>
            <w:szCs w:val="26"/>
            <w:u w:val="none"/>
          </w:rPr>
          <w:t>Anexa 1</w:t>
        </w:r>
      </w:hyperlink>
      <w:r>
        <w:rPr>
          <w:rStyle w:val="l5def1"/>
        </w:rPr>
        <w:t>) şi alte edituri naţionale şi internaţionale. Fiecare carte sau capitol în carte va substitui unul dintre cele 10 articole maxim admise în calculul punctajului P. Punctajele P</w:t>
      </w:r>
      <w:r>
        <w:rPr>
          <w:rStyle w:val="l5def1"/>
          <w:vertAlign w:val="subscript"/>
        </w:rPr>
        <w:t xml:space="preserve">i </w:t>
      </w:r>
      <w:r>
        <w:rPr>
          <w:rStyle w:val="l5def1"/>
        </w:rPr>
        <w:t>acordate cărţilor şi capitolelor în cărţi sunt următoarele:</w:t>
      </w:r>
      <w:r>
        <w:rPr>
          <w:rFonts w:ascii="Arial" w:hAnsi="Arial" w:cs="Arial"/>
          <w:color w:val="000000"/>
          <w:sz w:val="26"/>
          <w:szCs w:val="26"/>
        </w:rPr>
        <w:t xml:space="preserve">  </w:t>
      </w:r>
    </w:p>
    <w:p w:rsidR="00996340" w:rsidRDefault="00996340" w:rsidP="00996340">
      <w:pPr>
        <w:spacing w:after="260"/>
        <w:jc w:val="both"/>
        <w:rPr>
          <w:rFonts w:ascii="Arial" w:hAnsi="Arial" w:cs="Arial"/>
          <w:color w:val="000000"/>
          <w:sz w:val="26"/>
          <w:szCs w:val="26"/>
        </w:rPr>
      </w:pPr>
    </w:p>
    <w:tbl>
      <w:tblPr>
        <w:tblW w:w="9105" w:type="dxa"/>
        <w:jc w:val="center"/>
        <w:tblCellMar>
          <w:top w:w="15" w:type="dxa"/>
          <w:left w:w="15" w:type="dxa"/>
          <w:bottom w:w="15" w:type="dxa"/>
          <w:right w:w="15" w:type="dxa"/>
        </w:tblCellMar>
        <w:tblLook w:val="04A0"/>
      </w:tblPr>
      <w:tblGrid>
        <w:gridCol w:w="600"/>
        <w:gridCol w:w="6945"/>
        <w:gridCol w:w="1560"/>
      </w:tblGrid>
      <w:tr w:rsidR="00996340" w:rsidTr="0099634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996340" w:rsidRDefault="00996340" w:rsidP="0099634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996340" w:rsidRDefault="00996340" w:rsidP="00996340">
            <w:pPr>
              <w:jc w:val="both"/>
              <w:rPr>
                <w:sz w:val="20"/>
                <w:szCs w:val="20"/>
              </w:rPr>
            </w:pPr>
          </w:p>
        </w:tc>
      </w:tr>
      <w:tr w:rsidR="00996340" w:rsidTr="00996340">
        <w:trPr>
          <w:trHeight w:val="420"/>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both"/>
              <w:rPr>
                <w:sz w:val="20"/>
                <w:szCs w:val="20"/>
              </w:rPr>
            </w:pPr>
          </w:p>
        </w:tc>
        <w:tc>
          <w:tcPr>
            <w:tcW w:w="6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 xml:space="preserve">Cartea "i" publicată la o editură internaţională din Anexa 1 </w:t>
            </w:r>
          </w:p>
        </w:tc>
        <w:tc>
          <w:tcPr>
            <w:tcW w:w="156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P</w:t>
            </w:r>
            <w:r>
              <w:rPr>
                <w:rFonts w:ascii="Arial" w:hAnsi="Arial" w:cs="Arial"/>
                <w:color w:val="000000"/>
                <w:sz w:val="17"/>
                <w:szCs w:val="17"/>
                <w:vertAlign w:val="subscript"/>
              </w:rPr>
              <w:t>i</w:t>
            </w:r>
            <w:r>
              <w:rPr>
                <w:rFonts w:ascii="Arial" w:hAnsi="Arial" w:cs="Arial"/>
                <w:color w:val="000000"/>
                <w:sz w:val="17"/>
                <w:szCs w:val="17"/>
              </w:rPr>
              <w:t xml:space="preserve"> = 0,5/N</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6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 xml:space="preserve">Capitolul "i" în cartea publicată la o editură internaţională din Anexa 1 </w:t>
            </w:r>
          </w:p>
        </w:tc>
        <w:tc>
          <w:tcPr>
            <w:tcW w:w="156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P</w:t>
            </w:r>
            <w:r>
              <w:rPr>
                <w:rFonts w:ascii="Arial" w:hAnsi="Arial" w:cs="Arial"/>
                <w:color w:val="000000"/>
                <w:sz w:val="17"/>
                <w:szCs w:val="17"/>
                <w:vertAlign w:val="subscript"/>
              </w:rPr>
              <w:t>i</w:t>
            </w:r>
            <w:r>
              <w:rPr>
                <w:rFonts w:ascii="Arial" w:hAnsi="Arial" w:cs="Arial"/>
                <w:color w:val="000000"/>
                <w:sz w:val="17"/>
                <w:szCs w:val="17"/>
              </w:rPr>
              <w:t xml:space="preserve"> = 0,25/N</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6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 xml:space="preserve">Cartea "i" publicată la o editură naţională sau internaţională, altele decât în Anexa 1 </w:t>
            </w:r>
          </w:p>
        </w:tc>
        <w:tc>
          <w:tcPr>
            <w:tcW w:w="156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P</w:t>
            </w:r>
            <w:r>
              <w:rPr>
                <w:rFonts w:ascii="Arial" w:hAnsi="Arial" w:cs="Arial"/>
                <w:color w:val="000000"/>
                <w:sz w:val="17"/>
                <w:szCs w:val="17"/>
                <w:vertAlign w:val="subscript"/>
              </w:rPr>
              <w:t>i</w:t>
            </w:r>
            <w:r>
              <w:rPr>
                <w:rFonts w:ascii="Arial" w:hAnsi="Arial" w:cs="Arial"/>
                <w:color w:val="000000"/>
                <w:sz w:val="17"/>
                <w:szCs w:val="17"/>
              </w:rPr>
              <w:t xml:space="preserve"> = 0,2/N</w:t>
            </w:r>
          </w:p>
        </w:tc>
      </w:tr>
      <w:tr w:rsidR="00996340" w:rsidTr="0099634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6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 xml:space="preserve">Capitolul "i" în cartea publicată l o editură naţională sau internaţională, altele decât în Anexa 1 sau articol în volume ISI Proceedings </w:t>
            </w:r>
          </w:p>
        </w:tc>
        <w:tc>
          <w:tcPr>
            <w:tcW w:w="156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P</w:t>
            </w:r>
            <w:r>
              <w:rPr>
                <w:rFonts w:ascii="Arial" w:hAnsi="Arial" w:cs="Arial"/>
                <w:color w:val="000000"/>
                <w:sz w:val="17"/>
                <w:szCs w:val="17"/>
                <w:vertAlign w:val="subscript"/>
              </w:rPr>
              <w:t>i</w:t>
            </w:r>
            <w:r>
              <w:rPr>
                <w:rFonts w:ascii="Arial" w:hAnsi="Arial" w:cs="Arial"/>
                <w:color w:val="000000"/>
                <w:sz w:val="17"/>
                <w:szCs w:val="17"/>
              </w:rPr>
              <w:t xml:space="preserve"> = 0,1/N</w:t>
            </w:r>
          </w:p>
        </w:tc>
      </w:tr>
    </w:tbl>
    <w:p w:rsidR="00996340" w:rsidRDefault="00996340"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Pentru conferenţiar universitar, cercetător ştiinţific II, punctajul aferent acestui tip de publicaţie este de maximum 25 % din valoarea minimă a lui P (precizată mai jos la punctul 7), adică maximum 0,1875 puncte.</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Notă:</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Calitatea de editor al unei cărţi nu se asimilează cu calitatea de autor al unei cărţi.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Punctajul C</w:t>
      </w:r>
      <w:r>
        <w:rPr>
          <w:rStyle w:val="l5def1"/>
          <w:vertAlign w:val="subscript"/>
        </w:rPr>
        <w:t xml:space="preserve">j </w:t>
      </w:r>
      <w:r>
        <w:rPr>
          <w:rStyle w:val="l5def1"/>
        </w:rPr>
        <w:t>acordat unei citări "</w:t>
      </w:r>
      <w:r>
        <w:rPr>
          <w:rStyle w:val="l5def1"/>
          <w:vertAlign w:val="subscript"/>
        </w:rPr>
        <w:t>j</w:t>
      </w:r>
      <w:r>
        <w:rPr>
          <w:rStyle w:val="l5def1"/>
        </w:rPr>
        <w:t xml:space="preserve">" într-o revistă indexată ISI cu scor absolut de influenţă (AIS) nenul se determină conform algoritmului următor (vezi observaţia 3 din </w:t>
      </w:r>
      <w:hyperlink r:id="rId14" w:history="1">
        <w:r>
          <w:rPr>
            <w:rStyle w:val="Hyperlink"/>
            <w:rFonts w:ascii="Arial" w:hAnsi="Arial" w:cs="Arial"/>
            <w:sz w:val="26"/>
            <w:szCs w:val="26"/>
            <w:u w:val="none"/>
          </w:rPr>
          <w:t>Anexa 2</w:t>
        </w:r>
      </w:hyperlink>
      <w:r>
        <w:rPr>
          <w:rStyle w:val="l5def1"/>
        </w:rPr>
        <w:t>):</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C</w:t>
      </w:r>
      <w:r>
        <w:rPr>
          <w:rStyle w:val="l5def1"/>
          <w:vertAlign w:val="subscript"/>
        </w:rPr>
        <w:t>j</w:t>
      </w:r>
      <w:r>
        <w:rPr>
          <w:rStyle w:val="l5def1"/>
        </w:rPr>
        <w:t xml:space="preserve"> = 1 dacă revista este încadrată în prima cuartilă (Q1) pe domeniu după AIS conform JCR</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C</w:t>
      </w:r>
      <w:r>
        <w:rPr>
          <w:rStyle w:val="l5def1"/>
          <w:vertAlign w:val="subscript"/>
        </w:rPr>
        <w:t>j</w:t>
      </w:r>
      <w:r>
        <w:rPr>
          <w:rStyle w:val="l5def1"/>
        </w:rPr>
        <w:t xml:space="preserve"> = 0,75 dacă revista este încadrată în a doua cuartilă (Q2) pe domeniu după AIS conform JCR</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C</w:t>
      </w:r>
      <w:r>
        <w:rPr>
          <w:rStyle w:val="l5def1"/>
          <w:vertAlign w:val="subscript"/>
        </w:rPr>
        <w:t>j</w:t>
      </w:r>
      <w:r>
        <w:rPr>
          <w:rStyle w:val="l5def1"/>
        </w:rPr>
        <w:t xml:space="preserve"> = 0,5 dacă revista este încadrată în a treia cuartilă (Q3) pe domeniu după AIS conform JCR</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C</w:t>
      </w:r>
      <w:r>
        <w:rPr>
          <w:rStyle w:val="l5def1"/>
          <w:vertAlign w:val="subscript"/>
        </w:rPr>
        <w:t>j</w:t>
      </w:r>
      <w:r>
        <w:rPr>
          <w:rStyle w:val="l5def1"/>
        </w:rPr>
        <w:t xml:space="preserve"> = 0,25 dacă revista este încadrată în a patra cuartilă (Q4) pe domeniu după AIS conform JCR.</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 xml:space="preserve">Citările în cărţi publicate la edituri de prestigiu (conform listei din </w:t>
      </w:r>
      <w:hyperlink r:id="rId15" w:history="1">
        <w:r>
          <w:rPr>
            <w:rStyle w:val="Hyperlink"/>
            <w:rFonts w:ascii="Arial" w:hAnsi="Arial" w:cs="Arial"/>
            <w:sz w:val="26"/>
            <w:szCs w:val="26"/>
            <w:u w:val="none"/>
          </w:rPr>
          <w:t>Anexa 1</w:t>
        </w:r>
      </w:hyperlink>
      <w:r>
        <w:rPr>
          <w:rStyle w:val="l5def1"/>
        </w:rPr>
        <w:t>) sunt asimilate citărilor în reviste încadrate în a patra cuartilă. Punctajul acordat unei astfel de citări este de 0,25 puncte.</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Punctajul final obţinut din maxim 10 citări este dat de relaţia:</w:t>
      </w:r>
      <w:r>
        <w:rPr>
          <w:rFonts w:ascii="Arial" w:hAnsi="Arial" w:cs="Arial"/>
          <w:color w:val="000000"/>
          <w:sz w:val="26"/>
          <w:szCs w:val="26"/>
        </w:rPr>
        <w:t xml:space="preserve">  </w:t>
      </w:r>
    </w:p>
    <w:p w:rsidR="00996340" w:rsidRDefault="00996340" w:rsidP="00996340">
      <w:pPr>
        <w:jc w:val="center"/>
        <w:rPr>
          <w:rFonts w:ascii="Arial" w:hAnsi="Arial" w:cs="Arial"/>
          <w:color w:val="000000"/>
          <w:sz w:val="26"/>
          <w:szCs w:val="26"/>
        </w:rPr>
      </w:pPr>
      <w:r>
        <w:rPr>
          <w:rFonts w:ascii="Arial" w:hAnsi="Arial" w:cs="Arial"/>
          <w:color w:val="000000"/>
          <w:sz w:val="26"/>
          <w:szCs w:val="26"/>
        </w:rPr>
        <w:br/>
      </w:r>
      <w:r>
        <w:rPr>
          <w:rFonts w:ascii="Arial" w:hAnsi="Arial" w:cs="Arial"/>
          <w:noProof/>
          <w:color w:val="000000"/>
          <w:sz w:val="26"/>
          <w:szCs w:val="26"/>
          <w:lang w:val="en-US" w:eastAsia="en-US"/>
        </w:rPr>
        <w:drawing>
          <wp:inline distT="0" distB="0" distL="0" distR="0">
            <wp:extent cx="800100" cy="542925"/>
            <wp:effectExtent l="0" t="0" r="0" b="9525"/>
            <wp:docPr id="1" name="Picture 1" descr="C:\Lege5\TEMP\1191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ge5\TEMP\119175.tmp"/>
                    <pic:cNvPicPr>
                      <a:picLocks noChangeAspect="1" noChangeArrowheads="1"/>
                    </pic:cNvPicPr>
                  </pic:nvPicPr>
                  <pic:blipFill>
                    <a:blip r:link="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542925"/>
                    </a:xfrm>
                    <a:prstGeom prst="rect">
                      <a:avLst/>
                    </a:prstGeom>
                    <a:noFill/>
                    <a:ln>
                      <a:noFill/>
                    </a:ln>
                  </pic:spPr>
                </pic:pic>
              </a:graphicData>
            </a:graphic>
          </wp:inline>
        </w:drawing>
      </w:r>
      <w:r>
        <w:rPr>
          <w:rFonts w:ascii="Arial" w:hAnsi="Arial" w:cs="Arial"/>
          <w:color w:val="000000"/>
          <w:sz w:val="26"/>
          <w:szCs w:val="26"/>
        </w:rPr>
        <w:br/>
        <w:t xml:space="preserve">  </w:t>
      </w:r>
    </w:p>
    <w:p w:rsidR="00996340" w:rsidRDefault="00996340"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unde k ≤ 10 reprezintă numărul de citări în publicaţii.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Fonts w:ascii="Arial" w:hAnsi="Arial" w:cs="Arial"/>
          <w:color w:val="000000"/>
          <w:sz w:val="26"/>
          <w:szCs w:val="26"/>
        </w:rPr>
        <w:t xml:space="preserve"> </w:t>
      </w:r>
      <w:r>
        <w:rPr>
          <w:rStyle w:val="l5def1"/>
        </w:rPr>
        <w:t>Toate articolele/cărţile/capitolele în cărţi publicate şi toate publicaţiile citate ce sunt luate în considerare trebuie să trateze exclusiv subiecte şi teme specifice domeniului ştiinţelor economice şi administrarea afacerilor.</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000080"/>
          <w:sz w:val="26"/>
          <w:szCs w:val="26"/>
        </w:rPr>
        <w:t>3.</w:t>
      </w:r>
      <w:r>
        <w:rPr>
          <w:rFonts w:ascii="Arial" w:hAnsi="Arial" w:cs="Arial"/>
          <w:color w:val="000000"/>
          <w:sz w:val="26"/>
          <w:szCs w:val="26"/>
        </w:rPr>
        <w:t xml:space="preserve"> </w:t>
      </w:r>
      <w:r>
        <w:rPr>
          <w:rStyle w:val="l5def1"/>
        </w:rPr>
        <w:t>Revistele ISI în care sunt publicate articolele candidatului şi articolele în care apar citările publicaţiilor candidatului luate în considerare în stabilirea scorului final pot fi reviste ISI cu un scor absolut de influenţă (AIS) nenul încadrate pe categorii conform tabelului de mai jos:</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996340" w:rsidRDefault="00996340" w:rsidP="00996340">
      <w:pPr>
        <w:jc w:val="center"/>
        <w:rPr>
          <w:rFonts w:ascii="Arial" w:hAnsi="Arial" w:cs="Arial"/>
          <w:color w:val="000000"/>
          <w:sz w:val="26"/>
          <w:szCs w:val="26"/>
        </w:rPr>
      </w:pPr>
      <w:r>
        <w:rPr>
          <w:rFonts w:ascii="Arial" w:hAnsi="Arial" w:cs="Arial"/>
          <w:b/>
          <w:bCs/>
          <w:color w:val="FF6347"/>
          <w:sz w:val="26"/>
          <w:szCs w:val="26"/>
        </w:rPr>
        <w:t>Tabelul 1.</w:t>
      </w:r>
      <w:r>
        <w:rPr>
          <w:rFonts w:ascii="Arial" w:hAnsi="Arial" w:cs="Arial"/>
          <w:b/>
          <w:bCs/>
          <w:color w:val="FF6347"/>
          <w:sz w:val="26"/>
          <w:szCs w:val="26"/>
        </w:rPr>
        <w:br/>
      </w:r>
      <w:r>
        <w:rPr>
          <w:rStyle w:val="l5def1"/>
        </w:rPr>
        <w:t>Categoriile de încadrare a revistelor ISI luate în considerare pentru obţinerea standardului minim</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tbl>
      <w:tblPr>
        <w:tblW w:w="7215" w:type="dxa"/>
        <w:jc w:val="center"/>
        <w:tblCellMar>
          <w:top w:w="15" w:type="dxa"/>
          <w:left w:w="15" w:type="dxa"/>
          <w:bottom w:w="15" w:type="dxa"/>
          <w:right w:w="15" w:type="dxa"/>
        </w:tblCellMar>
        <w:tblLook w:val="04A0"/>
      </w:tblPr>
      <w:tblGrid>
        <w:gridCol w:w="14"/>
        <w:gridCol w:w="1525"/>
        <w:gridCol w:w="4063"/>
        <w:gridCol w:w="1613"/>
      </w:tblGrid>
      <w:tr w:rsidR="00996340" w:rsidTr="0099634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996340" w:rsidRDefault="00996340" w:rsidP="0099634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996340" w:rsidRDefault="00996340" w:rsidP="0099634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996340" w:rsidRDefault="00996340" w:rsidP="00996340">
            <w:pPr>
              <w:jc w:val="both"/>
              <w:rPr>
                <w:sz w:val="20"/>
                <w:szCs w:val="20"/>
              </w:rPr>
            </w:pPr>
          </w:p>
        </w:tc>
      </w:tr>
      <w:tr w:rsidR="00996340" w:rsidTr="0099634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both"/>
              <w:rPr>
                <w:sz w:val="20"/>
                <w:szCs w:val="20"/>
              </w:rPr>
            </w:pP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Index JCR </w:t>
            </w: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Categoriile de încadrare a revistelor ISI luate în considerare pentru obţinerea standardului minim (conform JCR) </w:t>
            </w:r>
          </w:p>
        </w:tc>
        <w:tc>
          <w:tcPr>
            <w:tcW w:w="16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Multiplicator M </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15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Core Economics </w:t>
            </w: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Economics </w:t>
            </w:r>
          </w:p>
        </w:tc>
        <w:tc>
          <w:tcPr>
            <w:tcW w:w="165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10 </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Business, Finance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Business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Management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15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Infoeconomics </w:t>
            </w: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Computer Science, Artificial Intelligence </w:t>
            </w:r>
          </w:p>
        </w:tc>
        <w:tc>
          <w:tcPr>
            <w:tcW w:w="165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8 </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Computer Science, Interdisciplinary Applications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Computer Science, Information System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Computer Science, Theory &amp; Methods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Computer Science, Software Engineering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Computer Science, Hardware &amp; Architecture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Operations Research &amp; Management Science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Statistics &amp; Probability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Computer Science, Cybernetics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Cybernetics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96340" w:rsidRDefault="00996340" w:rsidP="00996340">
            <w:pPr>
              <w:jc w:val="both"/>
              <w:rPr>
                <w:rFonts w:ascii="Arial" w:hAnsi="Arial" w:cs="Arial"/>
                <w:color w:val="000000"/>
                <w:sz w:val="17"/>
                <w:szCs w:val="17"/>
              </w:rPr>
            </w:pPr>
          </w:p>
        </w:tc>
      </w:tr>
      <w:tr w:rsidR="00996340" w:rsidTr="0099634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Social Science &amp; Science </w:t>
            </w:r>
          </w:p>
        </w:tc>
        <w:tc>
          <w:tcPr>
            <w:tcW w:w="4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Toate cu excepţia celor menţionate anterior </w:t>
            </w:r>
          </w:p>
        </w:tc>
        <w:tc>
          <w:tcPr>
            <w:tcW w:w="16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6 </w:t>
            </w:r>
          </w:p>
        </w:tc>
      </w:tr>
    </w:tbl>
    <w:p w:rsidR="00996340" w:rsidRDefault="00996340"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000080"/>
          <w:sz w:val="26"/>
          <w:szCs w:val="26"/>
        </w:rPr>
        <w:t>4.</w:t>
      </w:r>
      <w:r>
        <w:rPr>
          <w:rFonts w:ascii="Arial" w:hAnsi="Arial" w:cs="Arial"/>
          <w:color w:val="000000"/>
          <w:sz w:val="26"/>
          <w:szCs w:val="26"/>
        </w:rPr>
        <w:t xml:space="preserve"> </w:t>
      </w:r>
      <w:r>
        <w:rPr>
          <w:rStyle w:val="l5def1"/>
        </w:rPr>
        <w:t>Pentru profesor universitar, cercetător ştiinţific I şi abilitare, trebuie îndeplinită una din următoarele condiţii: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din cele maximum 10 articole, candidatul trebuie să fie autor sau coautor a cel puţin două articole publicate în reviste cotate ISI cu scor absolut de influenţă (AIS) mai mare decât 0,15;</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să fi câştigat în competiţii naţionale sau internaţionale cel puţin 2 proiecte/granturi de cercetare, cu excepţia proiectelor finanţate prin programe operaţionale de tip POS-DRU, POS-CEE sau similare, dintre care unul în calitate de director de proiect sau responsabil partener;</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un articol de la punctul a) şi un grant de la punctul b) în calitate de director.</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Pentru conferenţiar universitar, cercetător ştiinţific II trebuie îndeplinită una din următoarele condiţii: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din cele maximum 10 articole, candidatul trebuie să fie autor sau coautor a cel puţin un articol publicat în reviste cotate ISI cu scor absolut de influenţă (AIS) mai mare decât 0,15;</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să fi fost director/responsabil partener/membru într-un proiect/grant de cercetare câştigat în competiţii naţionale sau internaţionale, cu excepţia proiectelor finanţate prin programe operaţionale de tip POS-DRU, POS-CEE sau similare.</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5.</w:t>
      </w:r>
      <w:r>
        <w:rPr>
          <w:rFonts w:ascii="Arial" w:hAnsi="Arial" w:cs="Arial"/>
          <w:color w:val="000000"/>
          <w:sz w:val="26"/>
          <w:szCs w:val="26"/>
        </w:rPr>
        <w:t xml:space="preserve"> </w:t>
      </w:r>
      <w:r>
        <w:rPr>
          <w:rStyle w:val="l5def1"/>
        </w:rPr>
        <w:t>Candidatul pentru titlul de profesor, CSI şi abilitare trebuie să aibă un număr minim de 4 articole ISI cu AIS nenul din care minim 2 din categoriile Core Economics şi/sau Infoeconomics, respectiv pentru Conferenţiar, CSII minim 2 articole ISI cu AIS nenul din care 1 din categoriile Core Economics şi/sau Infoeconomics.</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6.</w:t>
      </w:r>
      <w:r>
        <w:rPr>
          <w:rFonts w:ascii="Arial" w:hAnsi="Arial" w:cs="Arial"/>
          <w:color w:val="000000"/>
          <w:sz w:val="26"/>
          <w:szCs w:val="26"/>
        </w:rPr>
        <w:t xml:space="preserve"> </w:t>
      </w:r>
      <w:r>
        <w:rPr>
          <w:rStyle w:val="l5def1"/>
        </w:rPr>
        <w:t>Numărul de autori luat în calcul (N) se referă doar la cei cu afiliere la instituţiile de învăţământ şi cercetare din România.</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7.</w:t>
      </w:r>
      <w:r>
        <w:rPr>
          <w:rFonts w:ascii="Arial" w:hAnsi="Arial" w:cs="Arial"/>
          <w:color w:val="000000"/>
          <w:sz w:val="26"/>
          <w:szCs w:val="26"/>
        </w:rPr>
        <w:t xml:space="preserve"> </w:t>
      </w:r>
      <w:r>
        <w:rPr>
          <w:rStyle w:val="l5def1"/>
        </w:rPr>
        <w:t>Valorile minime ale punctajelor pentru participarea la concursurile pentru ocuparea funcţiilor şi obţinerea titlurilor didactice şi ştiinţifice şi acordarea atestatului de abilitare sunt următoarele:</w:t>
      </w:r>
      <w:r>
        <w:rPr>
          <w:rFonts w:ascii="Arial" w:hAnsi="Arial" w:cs="Arial"/>
          <w:color w:val="000000"/>
          <w:sz w:val="26"/>
          <w:szCs w:val="26"/>
        </w:rPr>
        <w:t xml:space="preserve">  </w:t>
      </w:r>
    </w:p>
    <w:p w:rsidR="00996340" w:rsidRDefault="00996340" w:rsidP="00996340">
      <w:pPr>
        <w:spacing w:after="260"/>
        <w:jc w:val="both"/>
        <w:rPr>
          <w:rFonts w:ascii="Arial" w:hAnsi="Arial" w:cs="Arial"/>
          <w:color w:val="000000"/>
          <w:sz w:val="26"/>
          <w:szCs w:val="26"/>
        </w:rPr>
      </w:pPr>
    </w:p>
    <w:tbl>
      <w:tblPr>
        <w:tblW w:w="6420" w:type="dxa"/>
        <w:jc w:val="center"/>
        <w:tblCellMar>
          <w:top w:w="15" w:type="dxa"/>
          <w:left w:w="15" w:type="dxa"/>
          <w:bottom w:w="15" w:type="dxa"/>
          <w:right w:w="15" w:type="dxa"/>
        </w:tblCellMar>
        <w:tblLook w:val="04A0"/>
      </w:tblPr>
      <w:tblGrid>
        <w:gridCol w:w="600"/>
        <w:gridCol w:w="2910"/>
        <w:gridCol w:w="2910"/>
      </w:tblGrid>
      <w:tr w:rsidR="00996340" w:rsidTr="0099634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996340" w:rsidRDefault="00996340" w:rsidP="0099634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996340" w:rsidRDefault="00996340" w:rsidP="00996340">
            <w:pPr>
              <w:jc w:val="both"/>
              <w:rPr>
                <w:sz w:val="20"/>
                <w:szCs w:val="20"/>
              </w:rPr>
            </w:pPr>
          </w:p>
        </w:tc>
      </w:tr>
      <w:tr w:rsidR="00996340" w:rsidTr="0099634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both"/>
              <w:rPr>
                <w:sz w:val="20"/>
                <w:szCs w:val="20"/>
              </w:rPr>
            </w:pP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Conferenţiar universitar, Cercetător ştiinţific II </w:t>
            </w: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Profesor universitar, Cercetător ştiinţific I, Abilitare </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S ≥ 1,5 </w:t>
            </w: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S ≥ 4 </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P ≥ 0,75 </w:t>
            </w: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 xml:space="preserve">P ≥ 2 </w:t>
            </w:r>
          </w:p>
        </w:tc>
      </w:tr>
      <w:tr w:rsidR="00996340" w:rsidTr="00996340">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C ≥ 0,5</w:t>
            </w: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C ≥ 1,2</w:t>
            </w:r>
          </w:p>
        </w:tc>
      </w:tr>
    </w:tbl>
    <w:p w:rsidR="00996340" w:rsidRDefault="00996340" w:rsidP="00996340">
      <w:pPr>
        <w:jc w:val="both"/>
        <w:rPr>
          <w:rFonts w:ascii="Arial" w:hAnsi="Arial" w:cs="Arial"/>
          <w:color w:val="000000"/>
          <w:sz w:val="26"/>
          <w:szCs w:val="26"/>
        </w:rPr>
      </w:pPr>
    </w:p>
    <w:p w:rsidR="00091BAE" w:rsidRDefault="00091BAE" w:rsidP="00996340">
      <w:pPr>
        <w:jc w:val="both"/>
        <w:rPr>
          <w:rFonts w:ascii="Arial" w:hAnsi="Arial" w:cs="Arial"/>
          <w:color w:val="000000"/>
          <w:sz w:val="26"/>
          <w:szCs w:val="26"/>
        </w:rPr>
      </w:pPr>
    </w:p>
    <w:p w:rsidR="00996340" w:rsidRDefault="00996340" w:rsidP="00996340">
      <w:pPr>
        <w:jc w:val="right"/>
        <w:rPr>
          <w:rFonts w:ascii="Arial" w:hAnsi="Arial" w:cs="Arial"/>
          <w:color w:val="000000"/>
          <w:sz w:val="26"/>
          <w:szCs w:val="26"/>
        </w:rPr>
      </w:pPr>
      <w:r>
        <w:rPr>
          <w:rFonts w:ascii="Arial" w:hAnsi="Arial" w:cs="Arial"/>
          <w:b/>
          <w:bCs/>
          <w:color w:val="FF0000"/>
          <w:sz w:val="26"/>
          <w:szCs w:val="26"/>
          <w:u w:val="single"/>
        </w:rPr>
        <w:lastRenderedPageBreak/>
        <w:t>ANEXA Nr. 1</w:t>
      </w:r>
      <w:r>
        <w:rPr>
          <w:rFonts w:ascii="Arial" w:hAnsi="Arial" w:cs="Arial"/>
          <w:b/>
          <w:bCs/>
          <w:color w:val="FF0000"/>
          <w:sz w:val="26"/>
          <w:szCs w:val="26"/>
          <w:u w:val="single"/>
        </w:rPr>
        <w:br/>
      </w:r>
      <w:r>
        <w:rPr>
          <w:rFonts w:ascii="Arial" w:hAnsi="Arial" w:cs="Arial"/>
          <w:color w:val="000000"/>
          <w:sz w:val="26"/>
          <w:szCs w:val="26"/>
        </w:rPr>
        <w:t xml:space="preserve">  </w:t>
      </w:r>
    </w:p>
    <w:p w:rsidR="00996340" w:rsidRDefault="00996340" w:rsidP="00996340">
      <w:pPr>
        <w:jc w:val="center"/>
        <w:rPr>
          <w:rFonts w:ascii="Arial" w:hAnsi="Arial" w:cs="Arial"/>
          <w:color w:val="000000"/>
          <w:sz w:val="26"/>
          <w:szCs w:val="26"/>
        </w:rPr>
      </w:pPr>
      <w:r>
        <w:rPr>
          <w:rStyle w:val="l5def1"/>
        </w:rPr>
        <w:t>Listă edituri de prestigiu internaţional</w:t>
      </w:r>
      <w:r>
        <w:rPr>
          <w:rFonts w:ascii="Arial" w:hAnsi="Arial" w:cs="Arial"/>
          <w:color w:val="000000"/>
          <w:sz w:val="26"/>
          <w:szCs w:val="26"/>
        </w:rPr>
        <w:t xml:space="preserve">  </w:t>
      </w:r>
    </w:p>
    <w:p w:rsidR="00996340" w:rsidRDefault="00996340" w:rsidP="00996340">
      <w:pPr>
        <w:spacing w:after="260"/>
        <w:jc w:val="both"/>
        <w:rPr>
          <w:rFonts w:ascii="Arial" w:hAnsi="Arial" w:cs="Arial"/>
          <w:color w:val="000000"/>
          <w:sz w:val="26"/>
          <w:szCs w:val="26"/>
        </w:rPr>
      </w:pPr>
    </w:p>
    <w:tbl>
      <w:tblPr>
        <w:tblW w:w="5415" w:type="dxa"/>
        <w:jc w:val="center"/>
        <w:tblCellMar>
          <w:top w:w="15" w:type="dxa"/>
          <w:left w:w="15" w:type="dxa"/>
          <w:bottom w:w="15" w:type="dxa"/>
          <w:right w:w="15" w:type="dxa"/>
        </w:tblCellMar>
        <w:tblLook w:val="04A0"/>
      </w:tblPr>
      <w:tblGrid>
        <w:gridCol w:w="14"/>
        <w:gridCol w:w="1789"/>
        <w:gridCol w:w="3612"/>
      </w:tblGrid>
      <w:tr w:rsidR="00996340" w:rsidTr="0099634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996340" w:rsidRDefault="00996340" w:rsidP="0099634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996340" w:rsidRDefault="00996340" w:rsidP="00996340">
            <w:pPr>
              <w:jc w:val="both"/>
              <w:rPr>
                <w:sz w:val="20"/>
                <w:szCs w:val="20"/>
              </w:rPr>
            </w:pPr>
          </w:p>
        </w:tc>
      </w:tr>
      <w:tr w:rsidR="00996340" w:rsidTr="0099634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both"/>
              <w:rPr>
                <w:sz w:val="20"/>
                <w:szCs w:val="20"/>
              </w:rPr>
            </w:pPr>
          </w:p>
        </w:tc>
        <w:tc>
          <w:tcPr>
            <w:tcW w:w="241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Nr. Crt.</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Denumire Editura</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jc w:val="cente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Academic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Addison Wesley</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Allen and Unwin</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Blackwell</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5</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Brookings Institution</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6</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Cambridge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7</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Columbia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8</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Cornell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9</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CRC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10</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Duke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11</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Edward Elgar</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12</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Elsevier</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13</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Emerald Group</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14</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Harper Collins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15</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Harvard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16</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IEEE Computer Society</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17</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Indiana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18</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IOS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19</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John Wiley &amp; Sons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20</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Johns Hopkins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21</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Kluwer Academic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22</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Macmillan</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23</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McGraw-Hill</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24</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MIT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25</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New York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26</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North Holland</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27</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Oxford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28</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Palgrave Macmillan</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29</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Chapman &amp; Hall</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30</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Pearson Education</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31</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Prentice Hall</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32</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Presses Universitaires de France</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33</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Princeton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34</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Routledge</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35</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Rutgers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36</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Sage</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37</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Springer</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38</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Stanford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39</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Taylor &amp; Francis Group</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40</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University of California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41</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University of Chicago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42</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Wiley-Blackwell</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43</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Wiley</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44</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World Scientific</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45</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Yale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46</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Vienna University Press</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47</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Economica</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48</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Dunod</w:t>
            </w:r>
          </w:p>
        </w:tc>
      </w:tr>
      <w:tr w:rsidR="00996340" w:rsidTr="0099634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49</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Les Edition d'Organisation</w:t>
            </w:r>
          </w:p>
        </w:tc>
      </w:tr>
      <w:tr w:rsidR="00996340" w:rsidTr="00996340">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996340" w:rsidRDefault="00996340" w:rsidP="00996340">
            <w:pPr>
              <w:rPr>
                <w:rFonts w:ascii="Arial" w:hAnsi="Arial" w:cs="Arial"/>
                <w:color w:val="000000"/>
                <w:sz w:val="17"/>
                <w:szCs w:val="17"/>
              </w:rPr>
            </w:pPr>
          </w:p>
        </w:tc>
        <w:tc>
          <w:tcPr>
            <w:tcW w:w="24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jc w:val="center"/>
              <w:rPr>
                <w:rFonts w:ascii="Arial" w:hAnsi="Arial" w:cs="Arial"/>
                <w:color w:val="000000"/>
                <w:sz w:val="17"/>
                <w:szCs w:val="17"/>
              </w:rPr>
            </w:pPr>
            <w:r>
              <w:rPr>
                <w:rFonts w:ascii="Arial" w:hAnsi="Arial" w:cs="Arial"/>
                <w:color w:val="000000"/>
                <w:sz w:val="17"/>
                <w:szCs w:val="17"/>
              </w:rPr>
              <w:t>50</w:t>
            </w:r>
          </w:p>
        </w:tc>
        <w:tc>
          <w:tcPr>
            <w:tcW w:w="4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996340" w:rsidRDefault="00996340" w:rsidP="00996340">
            <w:pPr>
              <w:rPr>
                <w:rFonts w:ascii="Arial" w:hAnsi="Arial" w:cs="Arial"/>
                <w:color w:val="000000"/>
                <w:sz w:val="17"/>
                <w:szCs w:val="17"/>
              </w:rPr>
            </w:pPr>
            <w:r>
              <w:rPr>
                <w:rFonts w:ascii="Arial" w:hAnsi="Arial" w:cs="Arial"/>
                <w:color w:val="000000"/>
                <w:sz w:val="17"/>
                <w:szCs w:val="17"/>
              </w:rPr>
              <w:t>ACM Press</w:t>
            </w:r>
          </w:p>
        </w:tc>
      </w:tr>
    </w:tbl>
    <w:p w:rsidR="00996340" w:rsidRDefault="00996340" w:rsidP="00996340">
      <w:pPr>
        <w:jc w:val="both"/>
        <w:rPr>
          <w:rFonts w:ascii="Arial" w:hAnsi="Arial" w:cs="Arial"/>
          <w:color w:val="000000"/>
          <w:sz w:val="26"/>
          <w:szCs w:val="26"/>
        </w:rPr>
      </w:pPr>
    </w:p>
    <w:p w:rsidR="00996340" w:rsidRDefault="00996340" w:rsidP="00996340">
      <w:pPr>
        <w:jc w:val="right"/>
        <w:rPr>
          <w:rFonts w:ascii="Arial" w:hAnsi="Arial" w:cs="Arial"/>
          <w:color w:val="000000"/>
          <w:sz w:val="26"/>
          <w:szCs w:val="26"/>
        </w:rPr>
      </w:pPr>
      <w:r>
        <w:rPr>
          <w:rFonts w:ascii="Arial" w:hAnsi="Arial" w:cs="Arial"/>
          <w:b/>
          <w:bCs/>
          <w:color w:val="FF0000"/>
          <w:sz w:val="26"/>
          <w:szCs w:val="26"/>
          <w:u w:val="single"/>
        </w:rPr>
        <w:t>ANEXA Nr. 2</w:t>
      </w:r>
      <w:r>
        <w:rPr>
          <w:rFonts w:ascii="Arial" w:hAnsi="Arial" w:cs="Arial"/>
          <w:b/>
          <w:bCs/>
          <w:color w:val="FF0000"/>
          <w:sz w:val="26"/>
          <w:szCs w:val="26"/>
          <w:u w:val="single"/>
        </w:rPr>
        <w:br/>
      </w:r>
      <w:r>
        <w:rPr>
          <w:rFonts w:ascii="Arial" w:hAnsi="Arial" w:cs="Arial"/>
          <w:color w:val="000000"/>
          <w:sz w:val="26"/>
          <w:szCs w:val="26"/>
        </w:rPr>
        <w:t xml:space="preserve">  </w:t>
      </w:r>
    </w:p>
    <w:p w:rsidR="00996340" w:rsidRDefault="00996340" w:rsidP="00996340">
      <w:pPr>
        <w:jc w:val="center"/>
        <w:rPr>
          <w:rFonts w:ascii="Arial" w:hAnsi="Arial" w:cs="Arial"/>
          <w:color w:val="000000"/>
          <w:sz w:val="26"/>
          <w:szCs w:val="26"/>
        </w:rPr>
      </w:pPr>
      <w:r>
        <w:rPr>
          <w:rStyle w:val="l5def1"/>
        </w:rPr>
        <w:t>Observaţii privind realizarea standardelor minimale</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
        </w:rPr>
        <w:t>Articole publicate în reviste indexate ISI cu scor absolut de influenţă (AIS) nenul. Un articol este considerat publicat dacă este identificat prin următoarele informaţii ce vor fi preluate din ISI Web of Science Core Collection:</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00"/>
          <w:sz w:val="26"/>
          <w:szCs w:val="26"/>
        </w:rPr>
        <w:t>•</w:t>
      </w:r>
      <w:r>
        <w:rPr>
          <w:rFonts w:ascii="Arial" w:hAnsi="Arial" w:cs="Arial"/>
          <w:color w:val="000000"/>
          <w:sz w:val="26"/>
          <w:szCs w:val="26"/>
        </w:rPr>
        <w:t xml:space="preserve"> </w:t>
      </w:r>
      <w:r>
        <w:rPr>
          <w:rStyle w:val="l5def1"/>
        </w:rPr>
        <w:t>Lista de autori ai articolului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00"/>
          <w:sz w:val="26"/>
          <w:szCs w:val="26"/>
        </w:rPr>
        <w:t>•</w:t>
      </w:r>
      <w:r>
        <w:rPr>
          <w:rFonts w:ascii="Arial" w:hAnsi="Arial" w:cs="Arial"/>
          <w:color w:val="000000"/>
          <w:sz w:val="26"/>
          <w:szCs w:val="26"/>
        </w:rPr>
        <w:t xml:space="preserve"> </w:t>
      </w:r>
      <w:r>
        <w:rPr>
          <w:rStyle w:val="l5def1"/>
        </w:rPr>
        <w:t>Titlul articolului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00"/>
          <w:sz w:val="26"/>
          <w:szCs w:val="26"/>
        </w:rPr>
        <w:t>•</w:t>
      </w:r>
      <w:r>
        <w:rPr>
          <w:rFonts w:ascii="Arial" w:hAnsi="Arial" w:cs="Arial"/>
          <w:color w:val="000000"/>
          <w:sz w:val="26"/>
          <w:szCs w:val="26"/>
        </w:rPr>
        <w:t xml:space="preserve"> </w:t>
      </w:r>
      <w:r>
        <w:rPr>
          <w:rStyle w:val="l5def1"/>
        </w:rPr>
        <w:t>Denumirea revistei în care apare articolul</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00"/>
          <w:sz w:val="26"/>
          <w:szCs w:val="26"/>
        </w:rPr>
        <w:t>•</w:t>
      </w:r>
      <w:r>
        <w:rPr>
          <w:rFonts w:ascii="Arial" w:hAnsi="Arial" w:cs="Arial"/>
          <w:color w:val="000000"/>
          <w:sz w:val="26"/>
          <w:szCs w:val="26"/>
        </w:rPr>
        <w:t xml:space="preserve"> </w:t>
      </w:r>
      <w:r>
        <w:rPr>
          <w:rStyle w:val="l5def1"/>
        </w:rPr>
        <w:t>Volumul (numărul) revistei în care apare articolul</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00"/>
          <w:sz w:val="26"/>
          <w:szCs w:val="26"/>
        </w:rPr>
        <w:t>•</w:t>
      </w:r>
      <w:r>
        <w:rPr>
          <w:rFonts w:ascii="Arial" w:hAnsi="Arial" w:cs="Arial"/>
          <w:color w:val="000000"/>
          <w:sz w:val="26"/>
          <w:szCs w:val="26"/>
        </w:rPr>
        <w:t xml:space="preserve"> </w:t>
      </w:r>
      <w:r>
        <w:rPr>
          <w:rStyle w:val="l5def1"/>
        </w:rPr>
        <w:t>Numărul de pagini între care este încadrat articolul în revistă</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00"/>
          <w:sz w:val="26"/>
          <w:szCs w:val="26"/>
        </w:rPr>
        <w:t>•</w:t>
      </w:r>
      <w:r>
        <w:rPr>
          <w:rFonts w:ascii="Arial" w:hAnsi="Arial" w:cs="Arial"/>
          <w:color w:val="000000"/>
          <w:sz w:val="26"/>
          <w:szCs w:val="26"/>
        </w:rPr>
        <w:t xml:space="preserve"> </w:t>
      </w:r>
      <w:r>
        <w:rPr>
          <w:rStyle w:val="l5def1"/>
        </w:rPr>
        <w:t>Data publicării articolului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00"/>
          <w:sz w:val="26"/>
          <w:szCs w:val="26"/>
        </w:rPr>
        <w:t>•</w:t>
      </w:r>
      <w:r>
        <w:rPr>
          <w:rFonts w:ascii="Arial" w:hAnsi="Arial" w:cs="Arial"/>
          <w:color w:val="000000"/>
          <w:sz w:val="26"/>
          <w:szCs w:val="26"/>
        </w:rPr>
        <w:t xml:space="preserve"> </w:t>
      </w:r>
      <w:r>
        <w:rPr>
          <w:rStyle w:val="l5def1"/>
        </w:rPr>
        <w:t>ISSN-ul revistei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00"/>
          <w:sz w:val="26"/>
          <w:szCs w:val="26"/>
        </w:rPr>
        <w:t>•</w:t>
      </w:r>
      <w:r>
        <w:rPr>
          <w:rFonts w:ascii="Arial" w:hAnsi="Arial" w:cs="Arial"/>
          <w:color w:val="000000"/>
          <w:sz w:val="26"/>
          <w:szCs w:val="26"/>
        </w:rPr>
        <w:t xml:space="preserve"> </w:t>
      </w:r>
      <w:r>
        <w:rPr>
          <w:rStyle w:val="l5def1"/>
        </w:rPr>
        <w:t>Accession number (WOS)</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xml:space="preserve">    </w:t>
      </w:r>
      <w:r>
        <w:rPr>
          <w:rStyle w:val="l5def1"/>
        </w:rPr>
        <w:t>Lipsa oricărei informaţii dintre cele precizate anterior conduce la neluarea în considerare a articolului în stabilirea punctajelor necesare îndeplinirii standardelor minime de abilitare. În ISI Web of Science Core Collection, articolul trebuie să aibă încadrarea "article" sau "review" la rubrica "document type".</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Fonts w:ascii="Arial" w:hAnsi="Arial" w:cs="Arial"/>
          <w:color w:val="000000"/>
          <w:sz w:val="26"/>
          <w:szCs w:val="26"/>
        </w:rPr>
        <w:t xml:space="preserve"> </w:t>
      </w:r>
      <w:r>
        <w:rPr>
          <w:rStyle w:val="l5def1"/>
        </w:rPr>
        <w:t xml:space="preserve">Scorul absolut de influenţă (AIS) luat în calcul pentru revista ISI în care este publicat un articol sau în care este citată o publicaţie este, la alegerea candidatului, cel din momentul depunerii de către candidat a dosarului de concurs sau de abilitare sau cel din anul publicării articolului cu condiţia ca Scorul absolut de influenţă (AIS) al revistei în anul depunerii </w:t>
      </w:r>
      <w:r>
        <w:rPr>
          <w:rStyle w:val="l5def1"/>
        </w:rPr>
        <w:lastRenderedPageBreak/>
        <w:t>dosarului să fie nenul (conform ultimului raport disponibil/cel mai recent al AIS publicat în Journal Citation Reports - Thomson Reuters (JCR).</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Fonts w:ascii="Arial" w:hAnsi="Arial" w:cs="Arial"/>
          <w:color w:val="000000"/>
          <w:sz w:val="26"/>
          <w:szCs w:val="26"/>
        </w:rPr>
        <w:t xml:space="preserve"> </w:t>
      </w:r>
      <w:r>
        <w:rPr>
          <w:rStyle w:val="l5def1"/>
        </w:rPr>
        <w:t>Împărţirea revistelor ISI pe cuartile după scorul absolut de influenţă (AIS) pe domeniile de încadrare, din Journal Citation Reports - Thomson Reuters (JCR). S-a notat cu Q1 prima cuartilă (zonă roşie), respectiv reviste clasate descrescător după AIS-ul lor în prima pătrime, pe un domeniu. S-a notat cu Q2 a doua cuartilă (zonă galbenă), respectiv reviste clasate descrescător după AIS-ul în a doua pătrime, pe un domeniu. S-a notat cu Q3 a treia cuartilă (zonă gri), respectiv reviste clasate descrescător după AIS-ul în a treia pătrime, pe un domeniu. S-a notat cu Q4 a patra cuartilă (zonă gri), respectiv reviste clasate descrescător după AIS-ul în ultima pătrime, pe un domeniu. În cazul în care aceeaşi revistă este încadrată pe cuartile diferite pe două sau mai multe domenii, se va lua în considerare în determinarea punctajului acordat citărilor varianta cea mai favorabilă candidatului.</w:t>
      </w:r>
      <w:r>
        <w:rPr>
          <w:rFonts w:ascii="Arial" w:hAnsi="Arial" w:cs="Arial"/>
          <w:color w:val="000000"/>
          <w:sz w:val="26"/>
          <w:szCs w:val="26"/>
        </w:rPr>
        <w:t xml:space="preserve">  </w:t>
      </w:r>
    </w:p>
    <w:p w:rsidR="00996340" w:rsidRDefault="00996340" w:rsidP="00996340">
      <w:pPr>
        <w:jc w:val="both"/>
        <w:rPr>
          <w:rFonts w:ascii="Arial" w:hAnsi="Arial" w:cs="Arial"/>
          <w:color w:val="000000"/>
          <w:sz w:val="26"/>
          <w:szCs w:val="26"/>
        </w:rPr>
      </w:pPr>
    </w:p>
    <w:p w:rsidR="00065ECA" w:rsidRDefault="00065ECA"/>
    <w:sectPr w:rsidR="00065ECA" w:rsidSect="00996340">
      <w:footerReference w:type="default" r:id="rId17"/>
      <w:pgSz w:w="16839" w:h="11907"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9A" w:rsidRDefault="00AF419A" w:rsidP="00066E04">
      <w:r>
        <w:separator/>
      </w:r>
    </w:p>
  </w:endnote>
  <w:endnote w:type="continuationSeparator" w:id="0">
    <w:p w:rsidR="00AF419A" w:rsidRDefault="00AF419A" w:rsidP="00066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40" w:rsidRPr="00812FB5" w:rsidRDefault="00E87043" w:rsidP="00996340">
    <w:pPr>
      <w:pStyle w:val="Footer"/>
      <w:jc w:val="center"/>
    </w:pPr>
    <w:r>
      <w:fldChar w:fldCharType="begin"/>
    </w:r>
    <w:r w:rsidR="00996340">
      <w:instrText xml:space="preserve"> PAGE  \* MERGEFORMAT </w:instrText>
    </w:r>
    <w:r>
      <w:fldChar w:fldCharType="separate"/>
    </w:r>
    <w:r w:rsidR="00E92B3B">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9A" w:rsidRDefault="00AF419A" w:rsidP="00066E04">
      <w:r>
        <w:separator/>
      </w:r>
    </w:p>
  </w:footnote>
  <w:footnote w:type="continuationSeparator" w:id="0">
    <w:p w:rsidR="00AF419A" w:rsidRDefault="00AF419A" w:rsidP="00066E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6340"/>
    <w:rsid w:val="00065ECA"/>
    <w:rsid w:val="00066E04"/>
    <w:rsid w:val="00091BAE"/>
    <w:rsid w:val="003B1C40"/>
    <w:rsid w:val="00996340"/>
    <w:rsid w:val="00AF419A"/>
    <w:rsid w:val="00E87043"/>
    <w:rsid w:val="00E92B3B"/>
    <w:rsid w:val="00FA1D32"/>
    <w:rsid w:val="00FB0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4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96340"/>
    <w:rPr>
      <w:color w:val="0000FF"/>
      <w:u w:val="single"/>
    </w:rPr>
  </w:style>
  <w:style w:type="character" w:customStyle="1" w:styleId="l5def1">
    <w:name w:val="l5def1"/>
    <w:rsid w:val="00996340"/>
    <w:rPr>
      <w:rFonts w:ascii="Arial" w:hAnsi="Arial" w:cs="Arial" w:hint="default"/>
      <w:color w:val="000000"/>
      <w:sz w:val="26"/>
      <w:szCs w:val="26"/>
    </w:rPr>
  </w:style>
  <w:style w:type="character" w:customStyle="1" w:styleId="l5tlu1">
    <w:name w:val="l5tlu1"/>
    <w:rsid w:val="00996340"/>
    <w:rPr>
      <w:b/>
      <w:bCs/>
      <w:color w:val="000000"/>
      <w:sz w:val="32"/>
      <w:szCs w:val="32"/>
    </w:rPr>
  </w:style>
  <w:style w:type="paragraph" w:styleId="Header">
    <w:name w:val="header"/>
    <w:basedOn w:val="Normal"/>
    <w:link w:val="HeaderChar"/>
    <w:uiPriority w:val="99"/>
    <w:unhideWhenUsed/>
    <w:rsid w:val="00996340"/>
    <w:pPr>
      <w:tabs>
        <w:tab w:val="center" w:pos="4513"/>
        <w:tab w:val="right" w:pos="9026"/>
      </w:tabs>
    </w:pPr>
  </w:style>
  <w:style w:type="character" w:customStyle="1" w:styleId="HeaderChar">
    <w:name w:val="Header Char"/>
    <w:basedOn w:val="DefaultParagraphFont"/>
    <w:link w:val="Header"/>
    <w:uiPriority w:val="99"/>
    <w:rsid w:val="00996340"/>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996340"/>
    <w:pPr>
      <w:tabs>
        <w:tab w:val="center" w:pos="4513"/>
        <w:tab w:val="right" w:pos="9026"/>
      </w:tabs>
    </w:pPr>
  </w:style>
  <w:style w:type="character" w:customStyle="1" w:styleId="FooterChar">
    <w:name w:val="Footer Char"/>
    <w:basedOn w:val="DefaultParagraphFont"/>
    <w:link w:val="Footer"/>
    <w:uiPriority w:val="99"/>
    <w:rsid w:val="00996340"/>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996340"/>
    <w:rPr>
      <w:rFonts w:ascii="Tahoma" w:hAnsi="Tahoma" w:cs="Tahoma"/>
      <w:sz w:val="16"/>
      <w:szCs w:val="16"/>
    </w:rPr>
  </w:style>
  <w:style w:type="character" w:customStyle="1" w:styleId="BalloonTextChar">
    <w:name w:val="Balloon Text Char"/>
    <w:basedOn w:val="DefaultParagraphFont"/>
    <w:link w:val="BalloonText"/>
    <w:uiPriority w:val="99"/>
    <w:semiHidden/>
    <w:rsid w:val="00996340"/>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4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96340"/>
    <w:rPr>
      <w:color w:val="0000FF"/>
      <w:u w:val="single"/>
    </w:rPr>
  </w:style>
  <w:style w:type="character" w:customStyle="1" w:styleId="l5def1">
    <w:name w:val="l5def1"/>
    <w:rsid w:val="00996340"/>
    <w:rPr>
      <w:rFonts w:ascii="Arial" w:hAnsi="Arial" w:cs="Arial" w:hint="default"/>
      <w:color w:val="000000"/>
      <w:sz w:val="26"/>
      <w:szCs w:val="26"/>
    </w:rPr>
  </w:style>
  <w:style w:type="character" w:customStyle="1" w:styleId="l5tlu1">
    <w:name w:val="l5tlu1"/>
    <w:rsid w:val="00996340"/>
    <w:rPr>
      <w:b/>
      <w:bCs/>
      <w:color w:val="000000"/>
      <w:sz w:val="32"/>
      <w:szCs w:val="32"/>
    </w:rPr>
  </w:style>
  <w:style w:type="paragraph" w:styleId="Header">
    <w:name w:val="header"/>
    <w:basedOn w:val="Normal"/>
    <w:link w:val="HeaderChar"/>
    <w:uiPriority w:val="99"/>
    <w:unhideWhenUsed/>
    <w:rsid w:val="00996340"/>
    <w:pPr>
      <w:tabs>
        <w:tab w:val="center" w:pos="4513"/>
        <w:tab w:val="right" w:pos="9026"/>
      </w:tabs>
    </w:pPr>
  </w:style>
  <w:style w:type="character" w:customStyle="1" w:styleId="HeaderChar">
    <w:name w:val="Header Char"/>
    <w:basedOn w:val="DefaultParagraphFont"/>
    <w:link w:val="Header"/>
    <w:uiPriority w:val="99"/>
    <w:rsid w:val="00996340"/>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996340"/>
    <w:pPr>
      <w:tabs>
        <w:tab w:val="center" w:pos="4513"/>
        <w:tab w:val="right" w:pos="9026"/>
      </w:tabs>
    </w:pPr>
  </w:style>
  <w:style w:type="character" w:customStyle="1" w:styleId="FooterChar">
    <w:name w:val="Footer Char"/>
    <w:basedOn w:val="DefaultParagraphFont"/>
    <w:link w:val="Footer"/>
    <w:uiPriority w:val="99"/>
    <w:rsid w:val="00996340"/>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996340"/>
    <w:rPr>
      <w:rFonts w:ascii="Tahoma" w:hAnsi="Tahoma" w:cs="Tahoma"/>
      <w:sz w:val="16"/>
      <w:szCs w:val="16"/>
    </w:rPr>
  </w:style>
  <w:style w:type="character" w:customStyle="1" w:styleId="BalloonTextChar">
    <w:name w:val="Balloon Text Char"/>
    <w:basedOn w:val="DefaultParagraphFont"/>
    <w:link w:val="BalloonText"/>
    <w:uiPriority w:val="99"/>
    <w:semiHidden/>
    <w:rsid w:val="00996340"/>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038902%200" TargetMode="External"/><Relationship Id="rId13" Type="http://schemas.openxmlformats.org/officeDocument/2006/relationships/hyperlink" Target="act:1503447%2019117709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ct:1038901%200" TargetMode="External"/><Relationship Id="rId12" Type="http://schemas.openxmlformats.org/officeDocument/2006/relationships/image" Target="file:///C:\Lege5\TEMP\119174.tmp"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file:///C:\Lege5\TEMP\119175.tmp"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dataIncarcare:" TargetMode="External"/><Relationship Id="rId11" Type="http://schemas.openxmlformats.org/officeDocument/2006/relationships/hyperlink" Target="act:1503447%20191177101" TargetMode="External"/><Relationship Id="rId5" Type="http://schemas.openxmlformats.org/officeDocument/2006/relationships/endnotes" Target="endnotes.xml"/><Relationship Id="rId15" Type="http://schemas.openxmlformats.org/officeDocument/2006/relationships/hyperlink" Target="act:1503447%20191177098" TargetMode="External"/><Relationship Id="rId10" Type="http://schemas.openxmlformats.org/officeDocument/2006/relationships/hyperlink" Target="act:1038902%209352227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act:1038902%2093522274" TargetMode="External"/><Relationship Id="rId14" Type="http://schemas.openxmlformats.org/officeDocument/2006/relationships/hyperlink" Target="act:1503447%20191177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si Shutzi</dc:creator>
  <cp:lastModifiedBy>dana.ehling</cp:lastModifiedBy>
  <cp:revision>2</cp:revision>
  <dcterms:created xsi:type="dcterms:W3CDTF">2017-12-20T08:58:00Z</dcterms:created>
  <dcterms:modified xsi:type="dcterms:W3CDTF">2017-12-20T08:58:00Z</dcterms:modified>
</cp:coreProperties>
</file>